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032" w:rsidRDefault="00A90032" w:rsidP="00A90032">
      <w:pPr>
        <w:pStyle w:val="HeadUnit"/>
      </w:pPr>
      <w:bookmarkStart w:id="0" w:name="_GoBack"/>
      <w:bookmarkEnd w:id="0"/>
      <w:r>
        <w:t>Group A</w:t>
      </w:r>
    </w:p>
    <w:p w:rsidR="00A90032" w:rsidRPr="00DF4199" w:rsidRDefault="00A90032" w:rsidP="00A90032">
      <w:pPr>
        <w:pStyle w:val="HeadASection"/>
      </w:pPr>
      <w:r>
        <w:t xml:space="preserve">5.5 </w:t>
      </w:r>
      <w:r w:rsidRPr="002B0609">
        <w:t>R</w:t>
      </w:r>
      <w:r w:rsidRPr="00DF4199">
        <w:t>elative clauses</w:t>
      </w:r>
    </w:p>
    <w:p w:rsidR="00A90032" w:rsidRPr="00B132C2" w:rsidRDefault="00A90032" w:rsidP="00A90032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 w:rsidRPr="00B132C2">
        <w:rPr>
          <w:b/>
        </w:rPr>
        <w:t xml:space="preserve">1 </w:t>
      </w:r>
    </w:p>
    <w:p w:rsidR="00A90032" w:rsidRPr="0017219A" w:rsidRDefault="00A90032" w:rsidP="00A90032">
      <w:pPr>
        <w:pStyle w:val="TextList"/>
      </w:pPr>
      <w:r>
        <w:t xml:space="preserve">1 </w:t>
      </w:r>
      <w:proofErr w:type="gramStart"/>
      <w:r>
        <w:t>which :</w:t>
      </w:r>
      <w:proofErr w:type="gramEnd"/>
      <w:r>
        <w:t xml:space="preserve"> The gap refers back to </w:t>
      </w:r>
      <w:r>
        <w:rPr>
          <w:i/>
        </w:rPr>
        <w:t>a university</w:t>
      </w:r>
      <w:r>
        <w:t xml:space="preserve">, so we need to use </w:t>
      </w:r>
      <w:r>
        <w:rPr>
          <w:i/>
        </w:rPr>
        <w:t>which</w:t>
      </w:r>
      <w:r w:rsidRPr="0017219A">
        <w:t>.</w:t>
      </w:r>
    </w:p>
    <w:p w:rsidR="00A90032" w:rsidRDefault="00A90032" w:rsidP="00A90032">
      <w:pPr>
        <w:pStyle w:val="TextList"/>
      </w:pPr>
      <w:r>
        <w:t xml:space="preserve">2 where: The sentence is talking about </w:t>
      </w:r>
      <w:r w:rsidRPr="0017219A">
        <w:t>a place where</w:t>
      </w:r>
      <w:r>
        <w:rPr>
          <w:i/>
        </w:rPr>
        <w:t xml:space="preserve"> </w:t>
      </w:r>
      <w:r w:rsidRPr="0017219A">
        <w:rPr>
          <w:i/>
        </w:rPr>
        <w:t xml:space="preserve">other students </w:t>
      </w:r>
      <w:r>
        <w:rPr>
          <w:i/>
        </w:rPr>
        <w:t>live,</w:t>
      </w:r>
      <w:r>
        <w:t xml:space="preserve"> so we need to use the pronoun </w:t>
      </w:r>
      <w:r>
        <w:rPr>
          <w:i/>
        </w:rPr>
        <w:t>where.</w:t>
      </w:r>
      <w:r>
        <w:t xml:space="preserve"> </w:t>
      </w:r>
    </w:p>
    <w:p w:rsidR="00A90032" w:rsidRPr="00521460" w:rsidRDefault="00A90032" w:rsidP="00A90032">
      <w:pPr>
        <w:pStyle w:val="TextList"/>
      </w:pPr>
      <w:r>
        <w:t xml:space="preserve">3 where: The gap refers back to </w:t>
      </w:r>
      <w:r w:rsidRPr="0017219A">
        <w:rPr>
          <w:i/>
        </w:rPr>
        <w:t>areas</w:t>
      </w:r>
      <w:r>
        <w:t xml:space="preserve">, so we use the relative pronoun </w:t>
      </w:r>
      <w:r>
        <w:rPr>
          <w:i/>
        </w:rPr>
        <w:t>where.</w:t>
      </w:r>
    </w:p>
    <w:p w:rsidR="00A90032" w:rsidRDefault="00A90032" w:rsidP="00A90032">
      <w:pPr>
        <w:pStyle w:val="TextList"/>
      </w:pPr>
      <w:r>
        <w:t xml:space="preserve">4 </w:t>
      </w:r>
      <w:proofErr w:type="gramStart"/>
      <w:r>
        <w:t>which :</w:t>
      </w:r>
      <w:proofErr w:type="gramEnd"/>
      <w:r>
        <w:t xml:space="preserve"> The gap refers back to </w:t>
      </w:r>
      <w:r>
        <w:rPr>
          <w:i/>
        </w:rPr>
        <w:t>shelves</w:t>
      </w:r>
      <w:r>
        <w:t xml:space="preserve">, so we need to use </w:t>
      </w:r>
      <w:r>
        <w:rPr>
          <w:i/>
        </w:rPr>
        <w:t>which.</w:t>
      </w:r>
    </w:p>
    <w:p w:rsidR="00A90032" w:rsidRDefault="00A90032" w:rsidP="00A90032">
      <w:pPr>
        <w:pStyle w:val="TextList"/>
      </w:pPr>
      <w:r>
        <w:t xml:space="preserve">5 </w:t>
      </w:r>
      <w:proofErr w:type="gramStart"/>
      <w:r>
        <w:t>which :</w:t>
      </w:r>
      <w:proofErr w:type="gramEnd"/>
      <w:r>
        <w:t xml:space="preserve"> The gap refers back to </w:t>
      </w:r>
      <w:r>
        <w:rPr>
          <w:i/>
        </w:rPr>
        <w:t>a book</w:t>
      </w:r>
      <w:r>
        <w:t xml:space="preserve">, so we need to use </w:t>
      </w:r>
      <w:r>
        <w:rPr>
          <w:i/>
        </w:rPr>
        <w:t>which.</w:t>
      </w:r>
    </w:p>
    <w:p w:rsidR="00A90032" w:rsidRDefault="00A90032" w:rsidP="00A90032">
      <w:pPr>
        <w:pStyle w:val="TextList"/>
      </w:pPr>
      <w:r>
        <w:t xml:space="preserve">6 </w:t>
      </w:r>
      <w:proofErr w:type="gramStart"/>
      <w:r>
        <w:t>who :</w:t>
      </w:r>
      <w:proofErr w:type="gramEnd"/>
      <w:r>
        <w:t xml:space="preserve"> The gap refers back to </w:t>
      </w:r>
      <w:r>
        <w:rPr>
          <w:i/>
        </w:rPr>
        <w:t>another student,</w:t>
      </w:r>
      <w:r>
        <w:t xml:space="preserve"> so we need to use </w:t>
      </w:r>
      <w:r>
        <w:rPr>
          <w:i/>
        </w:rPr>
        <w:t>who.</w:t>
      </w:r>
    </w:p>
    <w:p w:rsidR="00A90032" w:rsidRPr="00521460" w:rsidRDefault="00A90032" w:rsidP="00A90032">
      <w:pPr>
        <w:pStyle w:val="TextList"/>
      </w:pPr>
      <w:r>
        <w:t xml:space="preserve">7 –: We can leave out the relative pronoun here, as we’re talking about the object </w:t>
      </w:r>
      <w:r w:rsidRPr="0017219A">
        <w:t xml:space="preserve">– </w:t>
      </w:r>
      <w:r>
        <w:rPr>
          <w:i/>
        </w:rPr>
        <w:t>the book.</w:t>
      </w:r>
    </w:p>
    <w:p w:rsidR="00A90032" w:rsidRDefault="00A90032" w:rsidP="00A90032">
      <w:pPr>
        <w:pStyle w:val="TextList"/>
      </w:pPr>
      <w:r>
        <w:t xml:space="preserve">8 which: The gap refers back to </w:t>
      </w:r>
      <w:r>
        <w:rPr>
          <w:i/>
        </w:rPr>
        <w:t>something</w:t>
      </w:r>
      <w:r>
        <w:t xml:space="preserve">, so we use the pronoun </w:t>
      </w:r>
      <w:r>
        <w:rPr>
          <w:i/>
        </w:rPr>
        <w:t>which.</w:t>
      </w:r>
    </w:p>
    <w:p w:rsidR="00A90032" w:rsidRPr="00521460" w:rsidRDefault="00A90032" w:rsidP="00A90032">
      <w:pPr>
        <w:pStyle w:val="TextList"/>
      </w:pPr>
      <w:r>
        <w:t xml:space="preserve">9 who: The gap refers back to </w:t>
      </w:r>
      <w:r>
        <w:rPr>
          <w:i/>
        </w:rPr>
        <w:t>a friend</w:t>
      </w:r>
      <w:r>
        <w:t xml:space="preserve">, so we use </w:t>
      </w:r>
      <w:r>
        <w:rPr>
          <w:i/>
        </w:rPr>
        <w:t>who.</w:t>
      </w:r>
    </w:p>
    <w:p w:rsidR="00A90032" w:rsidRDefault="00A90032" w:rsidP="00A90032"/>
    <w:p w:rsidR="00A90032" w:rsidRPr="00B132C2" w:rsidRDefault="00A90032" w:rsidP="00A90032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 w:rsidRPr="00B132C2">
        <w:rPr>
          <w:b/>
        </w:rPr>
        <w:t xml:space="preserve">2 </w:t>
      </w:r>
    </w:p>
    <w:p w:rsidR="00A90032" w:rsidRPr="006537BE" w:rsidRDefault="00A90032" w:rsidP="00A90032">
      <w:pPr>
        <w:pStyle w:val="TextList"/>
      </w:pPr>
      <w:r>
        <w:t>1 where:</w:t>
      </w:r>
      <w:r w:rsidRPr="006537BE">
        <w:t xml:space="preserve"> We use </w:t>
      </w:r>
      <w:r w:rsidRPr="006537BE">
        <w:rPr>
          <w:i/>
        </w:rPr>
        <w:t>where</w:t>
      </w:r>
      <w:r w:rsidRPr="006537BE">
        <w:t xml:space="preserve"> to refer to places.</w:t>
      </w:r>
    </w:p>
    <w:p w:rsidR="00A90032" w:rsidRPr="001A6DC0" w:rsidRDefault="00A90032" w:rsidP="00A90032">
      <w:pPr>
        <w:pStyle w:val="TextList"/>
      </w:pPr>
      <w:r>
        <w:t>2 that:</w:t>
      </w:r>
      <w:r w:rsidRPr="006537BE">
        <w:t xml:space="preserve"> We use </w:t>
      </w:r>
      <w:r w:rsidRPr="006537BE">
        <w:rPr>
          <w:i/>
        </w:rPr>
        <w:t>that</w:t>
      </w:r>
      <w:r w:rsidRPr="006537BE">
        <w:t xml:space="preserve"> to refer to things. </w:t>
      </w:r>
    </w:p>
    <w:p w:rsidR="00A90032" w:rsidRPr="001A6DC0" w:rsidRDefault="00A90032" w:rsidP="00A90032">
      <w:pPr>
        <w:pStyle w:val="TextList"/>
      </w:pPr>
      <w:r>
        <w:t>3 who:</w:t>
      </w:r>
      <w:r w:rsidRPr="006537BE">
        <w:t xml:space="preserve"> We use </w:t>
      </w:r>
      <w:r w:rsidRPr="006537BE">
        <w:rPr>
          <w:i/>
        </w:rPr>
        <w:t>who</w:t>
      </w:r>
      <w:r w:rsidRPr="006537BE">
        <w:t xml:space="preserve"> to refer to people.</w:t>
      </w:r>
    </w:p>
    <w:p w:rsidR="00A90032" w:rsidRPr="001A6DC0" w:rsidRDefault="00A90032" w:rsidP="00A90032">
      <w:pPr>
        <w:pStyle w:val="TextList"/>
      </w:pPr>
      <w:r>
        <w:t xml:space="preserve">4 that: </w:t>
      </w:r>
      <w:r w:rsidRPr="006537BE">
        <w:t xml:space="preserve">We use </w:t>
      </w:r>
      <w:r w:rsidRPr="006537BE">
        <w:rPr>
          <w:i/>
        </w:rPr>
        <w:t>that</w:t>
      </w:r>
      <w:r w:rsidRPr="006537BE">
        <w:t xml:space="preserve"> or </w:t>
      </w:r>
      <w:r w:rsidRPr="006537BE">
        <w:rPr>
          <w:i/>
        </w:rPr>
        <w:t>who</w:t>
      </w:r>
      <w:r w:rsidRPr="006537BE">
        <w:t xml:space="preserve"> to refer to people, not </w:t>
      </w:r>
      <w:r w:rsidRPr="006537BE">
        <w:rPr>
          <w:i/>
        </w:rPr>
        <w:t>which</w:t>
      </w:r>
      <w:r w:rsidRPr="006537BE">
        <w:t>.</w:t>
      </w:r>
    </w:p>
    <w:p w:rsidR="00A90032" w:rsidRPr="00521460" w:rsidRDefault="00A90032" w:rsidP="00A90032">
      <w:pPr>
        <w:pStyle w:val="TextList"/>
      </w:pPr>
      <w:r>
        <w:t>5</w:t>
      </w:r>
      <w:r w:rsidRPr="006537BE">
        <w:t xml:space="preserve"> </w:t>
      </w:r>
      <w:r w:rsidRPr="00B94191">
        <w:t>–</w:t>
      </w:r>
      <w:r>
        <w:t>:</w:t>
      </w:r>
      <w:r w:rsidRPr="006537BE">
        <w:t xml:space="preserve"> We can leave out the relative pronoun here, as the sentence is about the object. </w:t>
      </w:r>
      <w:r w:rsidRPr="0094534C">
        <w:t xml:space="preserve">If you want to check, try turning the sentence around: </w:t>
      </w:r>
      <w:r w:rsidRPr="00F41DF1">
        <w:rPr>
          <w:i/>
        </w:rPr>
        <w:t>I’ve</w:t>
      </w:r>
      <w:r w:rsidRPr="006537BE">
        <w:rPr>
          <w:i/>
        </w:rPr>
        <w:t xml:space="preserve"> (subject) just taken a </w:t>
      </w:r>
      <w:r w:rsidRPr="00F41DF1">
        <w:rPr>
          <w:i/>
        </w:rPr>
        <w:t>photo</w:t>
      </w:r>
      <w:r w:rsidRPr="006537BE">
        <w:rPr>
          <w:i/>
        </w:rPr>
        <w:t xml:space="preserve"> (</w:t>
      </w:r>
      <w:r>
        <w:rPr>
          <w:i/>
        </w:rPr>
        <w:t>object). I’m not happy with it.</w:t>
      </w:r>
    </w:p>
    <w:p w:rsidR="00A90032" w:rsidRPr="00554C3D" w:rsidRDefault="00A90032" w:rsidP="00A90032">
      <w:pPr>
        <w:pStyle w:val="TextList"/>
      </w:pPr>
      <w:r>
        <w:t>6 which:</w:t>
      </w:r>
      <w:r w:rsidRPr="006537BE">
        <w:t xml:space="preserve"> We use </w:t>
      </w:r>
      <w:r w:rsidRPr="006537BE">
        <w:rPr>
          <w:i/>
        </w:rPr>
        <w:t xml:space="preserve">which </w:t>
      </w:r>
      <w:r w:rsidRPr="006537BE">
        <w:t>to refer to things.</w:t>
      </w:r>
    </w:p>
    <w:p w:rsidR="00A90032" w:rsidRPr="00521460" w:rsidRDefault="00A90032" w:rsidP="00A90032"/>
    <w:p w:rsidR="00A90032" w:rsidRDefault="00A90032" w:rsidP="00A90032">
      <w:pPr>
        <w:pStyle w:val="HeadUnit"/>
      </w:pPr>
      <w:r>
        <w:t>Group B</w:t>
      </w:r>
    </w:p>
    <w:p w:rsidR="00A90032" w:rsidRPr="00DF4199" w:rsidRDefault="00A90032" w:rsidP="00A90032">
      <w:pPr>
        <w:pStyle w:val="HeadASection"/>
      </w:pPr>
      <w:r>
        <w:t xml:space="preserve">5.5 </w:t>
      </w:r>
      <w:r w:rsidRPr="002B0609">
        <w:t>R</w:t>
      </w:r>
      <w:r w:rsidRPr="00DF4199">
        <w:t>elative clauses</w:t>
      </w:r>
    </w:p>
    <w:p w:rsidR="00A90032" w:rsidRPr="00B132C2" w:rsidRDefault="00A90032" w:rsidP="00A90032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>
        <w:rPr>
          <w:b/>
        </w:rPr>
        <w:t xml:space="preserve">1 </w:t>
      </w:r>
    </w:p>
    <w:p w:rsidR="00A90032" w:rsidRDefault="00A90032" w:rsidP="00A90032">
      <w:pPr>
        <w:pStyle w:val="TextList"/>
      </w:pPr>
      <w:r>
        <w:t xml:space="preserve">1 which: The gap refers back to </w:t>
      </w:r>
      <w:r>
        <w:rPr>
          <w:i/>
        </w:rPr>
        <w:t xml:space="preserve">art college, </w:t>
      </w:r>
      <w:r>
        <w:t xml:space="preserve">and is followed by a verb – </w:t>
      </w:r>
      <w:r>
        <w:rPr>
          <w:i/>
        </w:rPr>
        <w:t>is</w:t>
      </w:r>
      <w:r>
        <w:t xml:space="preserve"> – so we use </w:t>
      </w:r>
      <w:r>
        <w:rPr>
          <w:i/>
        </w:rPr>
        <w:t>which.</w:t>
      </w:r>
    </w:p>
    <w:p w:rsidR="00A90032" w:rsidRPr="00521460" w:rsidRDefault="00A90032" w:rsidP="00A90032">
      <w:pPr>
        <w:pStyle w:val="TextList"/>
      </w:pPr>
      <w:r>
        <w:t xml:space="preserve">2 where: The gap refers back to </w:t>
      </w:r>
      <w:r>
        <w:rPr>
          <w:i/>
        </w:rPr>
        <w:t>the house</w:t>
      </w:r>
      <w:r>
        <w:t xml:space="preserve">, so we use </w:t>
      </w:r>
      <w:r>
        <w:rPr>
          <w:i/>
        </w:rPr>
        <w:t>where.</w:t>
      </w:r>
    </w:p>
    <w:p w:rsidR="00A90032" w:rsidRPr="00521460" w:rsidRDefault="00A90032" w:rsidP="00A90032">
      <w:pPr>
        <w:pStyle w:val="TextList"/>
        <w:rPr>
          <w:i/>
        </w:rPr>
      </w:pPr>
      <w:r>
        <w:t xml:space="preserve">3 which: The gap refers back to </w:t>
      </w:r>
      <w:r>
        <w:rPr>
          <w:i/>
        </w:rPr>
        <w:t xml:space="preserve">the house where my parents live, </w:t>
      </w:r>
      <w:r>
        <w:t>so we use</w:t>
      </w:r>
      <w:r>
        <w:rPr>
          <w:i/>
        </w:rPr>
        <w:t xml:space="preserve"> which.</w:t>
      </w:r>
    </w:p>
    <w:p w:rsidR="00A90032" w:rsidRPr="00521460" w:rsidRDefault="00A90032" w:rsidP="00A90032">
      <w:pPr>
        <w:pStyle w:val="TextList"/>
      </w:pPr>
      <w:r>
        <w:t xml:space="preserve">4 who: The gap refers back to </w:t>
      </w:r>
      <w:r>
        <w:rPr>
          <w:i/>
        </w:rPr>
        <w:t>my mother</w:t>
      </w:r>
      <w:r>
        <w:t xml:space="preserve">, so we use </w:t>
      </w:r>
      <w:r>
        <w:rPr>
          <w:i/>
        </w:rPr>
        <w:t>who.</w:t>
      </w:r>
    </w:p>
    <w:p w:rsidR="00A90032" w:rsidRPr="00521460" w:rsidRDefault="00A90032" w:rsidP="00A90032">
      <w:pPr>
        <w:pStyle w:val="TextList"/>
        <w:rPr>
          <w:i/>
        </w:rPr>
      </w:pPr>
      <w:r>
        <w:t xml:space="preserve">5 –: </w:t>
      </w:r>
      <w:r w:rsidRPr="0094534C">
        <w:t xml:space="preserve">We don’t need a relative pronoun here, as we’re talking about the </w:t>
      </w:r>
      <w:r w:rsidRPr="00E01D23">
        <w:t>object</w:t>
      </w:r>
      <w:r>
        <w:rPr>
          <w:b/>
        </w:rPr>
        <w:t xml:space="preserve">. </w:t>
      </w:r>
      <w:r w:rsidRPr="0094534C">
        <w:t xml:space="preserve">If you want to check, try turning the sentence around: </w:t>
      </w:r>
      <w:r>
        <w:rPr>
          <w:i/>
        </w:rPr>
        <w:t>I</w:t>
      </w:r>
      <w:r>
        <w:t xml:space="preserve"> (subject)</w:t>
      </w:r>
      <w:r w:rsidRPr="00E01D23">
        <w:t xml:space="preserve"> </w:t>
      </w:r>
      <w:r>
        <w:rPr>
          <w:i/>
        </w:rPr>
        <w:t>need the help.</w:t>
      </w:r>
      <w:r w:rsidRPr="00E01D23">
        <w:rPr>
          <w:b/>
          <w:i/>
        </w:rPr>
        <w:t xml:space="preserve"> </w:t>
      </w:r>
      <w:r w:rsidRPr="0094534C">
        <w:t>(</w:t>
      </w:r>
      <w:proofErr w:type="gramStart"/>
      <w:r w:rsidRPr="0094534C">
        <w:t>object</w:t>
      </w:r>
      <w:proofErr w:type="gramEnd"/>
      <w:r w:rsidRPr="0094534C">
        <w:t>)</w:t>
      </w:r>
      <w:r w:rsidRPr="00F41DF1">
        <w:t>.</w:t>
      </w:r>
    </w:p>
    <w:p w:rsidR="00A90032" w:rsidRPr="00521460" w:rsidRDefault="00A90032" w:rsidP="00A90032">
      <w:pPr>
        <w:pStyle w:val="TextList"/>
      </w:pPr>
      <w:r>
        <w:t xml:space="preserve">6 where: The gap refers back to </w:t>
      </w:r>
      <w:r>
        <w:rPr>
          <w:i/>
        </w:rPr>
        <w:t>her studio,</w:t>
      </w:r>
      <w:r>
        <w:t xml:space="preserve"> so we use </w:t>
      </w:r>
      <w:r>
        <w:rPr>
          <w:i/>
        </w:rPr>
        <w:t>where.</w:t>
      </w:r>
    </w:p>
    <w:p w:rsidR="00A90032" w:rsidRPr="00F50E62" w:rsidRDefault="00A90032" w:rsidP="00A90032">
      <w:pPr>
        <w:pStyle w:val="TextList"/>
      </w:pPr>
      <w:r>
        <w:t xml:space="preserve">7 who: The gap refers back to </w:t>
      </w:r>
      <w:r>
        <w:rPr>
          <w:i/>
        </w:rPr>
        <w:t>someone</w:t>
      </w:r>
      <w:r>
        <w:t xml:space="preserve">, so we use </w:t>
      </w:r>
      <w:r>
        <w:rPr>
          <w:i/>
        </w:rPr>
        <w:t>who</w:t>
      </w:r>
      <w:r w:rsidRPr="00F50E62">
        <w:t>.</w:t>
      </w:r>
    </w:p>
    <w:p w:rsidR="00A90032" w:rsidRPr="00521460" w:rsidRDefault="00A90032" w:rsidP="00A90032">
      <w:pPr>
        <w:pStyle w:val="TextList"/>
      </w:pPr>
      <w:r>
        <w:t>8 where: The gap refers back to</w:t>
      </w:r>
      <w:r>
        <w:rPr>
          <w:i/>
        </w:rPr>
        <w:t xml:space="preserve"> exhibitions</w:t>
      </w:r>
      <w:r>
        <w:t xml:space="preserve">, so we use </w:t>
      </w:r>
      <w:r>
        <w:rPr>
          <w:i/>
        </w:rPr>
        <w:t>where.</w:t>
      </w:r>
    </w:p>
    <w:p w:rsidR="00A90032" w:rsidRDefault="00A90032" w:rsidP="00A90032">
      <w:pPr>
        <w:pStyle w:val="TextList"/>
      </w:pPr>
      <w:r>
        <w:t>9 –:</w:t>
      </w:r>
      <w:r w:rsidRPr="00F50E62">
        <w:t xml:space="preserve"> The gap is followed by a pronoun – </w:t>
      </w:r>
      <w:r w:rsidRPr="00F50E62">
        <w:rPr>
          <w:i/>
        </w:rPr>
        <w:t xml:space="preserve">I’d like </w:t>
      </w:r>
      <w:r w:rsidRPr="00F50E62">
        <w:t>– so we can leave out the relative pronoun.</w:t>
      </w:r>
    </w:p>
    <w:p w:rsidR="00A90032" w:rsidRPr="00F50E62" w:rsidRDefault="00A90032" w:rsidP="00A90032"/>
    <w:p w:rsidR="00A90032" w:rsidRPr="00B132C2" w:rsidRDefault="00A90032" w:rsidP="00A90032">
      <w:pPr>
        <w:pStyle w:val="Text"/>
        <w:rPr>
          <w:b/>
        </w:rPr>
      </w:pPr>
      <w:r w:rsidRPr="00214AE5">
        <w:rPr>
          <w:b/>
          <w:bCs/>
        </w:rPr>
        <w:t>Exercise</w:t>
      </w:r>
      <w:r>
        <w:rPr>
          <w:b/>
          <w:bCs/>
        </w:rPr>
        <w:t xml:space="preserve"> </w:t>
      </w:r>
      <w:r>
        <w:rPr>
          <w:b/>
        </w:rPr>
        <w:t xml:space="preserve">2 </w:t>
      </w:r>
    </w:p>
    <w:p w:rsidR="00A90032" w:rsidRPr="00041D4C" w:rsidRDefault="00A90032" w:rsidP="00A90032">
      <w:pPr>
        <w:pStyle w:val="TextList"/>
      </w:pPr>
      <w:r>
        <w:t>1</w:t>
      </w:r>
      <w:r w:rsidRPr="00A91BF2">
        <w:t xml:space="preserve"> </w:t>
      </w:r>
      <w:r w:rsidRPr="00B94191">
        <w:t>–</w:t>
      </w:r>
      <w:r>
        <w:t>:</w:t>
      </w:r>
      <w:r w:rsidRPr="0094534C">
        <w:t xml:space="preserve"> We don’t need a relative pronoun here, as we’re talking about the </w:t>
      </w:r>
      <w:r w:rsidRPr="00E01D23">
        <w:t>object</w:t>
      </w:r>
      <w:r w:rsidRPr="0094534C">
        <w:rPr>
          <w:b/>
        </w:rPr>
        <w:t>.</w:t>
      </w:r>
      <w:r w:rsidRPr="00041D4C">
        <w:rPr>
          <w:b/>
        </w:rPr>
        <w:t xml:space="preserve"> </w:t>
      </w:r>
      <w:r w:rsidRPr="0094534C">
        <w:t xml:space="preserve">If you want to check, try turning the sentence around: </w:t>
      </w:r>
      <w:r w:rsidRPr="00E01D23">
        <w:rPr>
          <w:i/>
        </w:rPr>
        <w:t>Our teacher</w:t>
      </w:r>
      <w:r>
        <w:t xml:space="preserve"> (subject)</w:t>
      </w:r>
      <w:r w:rsidRPr="00E01D23">
        <w:t xml:space="preserve"> </w:t>
      </w:r>
      <w:r w:rsidRPr="00E01D23">
        <w:rPr>
          <w:i/>
        </w:rPr>
        <w:t>recommended this book</w:t>
      </w:r>
      <w:r w:rsidRPr="00E01D23">
        <w:rPr>
          <w:b/>
          <w:i/>
        </w:rPr>
        <w:t xml:space="preserve"> </w:t>
      </w:r>
      <w:r w:rsidRPr="0094534C">
        <w:t>(object)</w:t>
      </w:r>
      <w:r w:rsidRPr="00F41DF1">
        <w:t>.</w:t>
      </w:r>
    </w:p>
    <w:p w:rsidR="00A90032" w:rsidRDefault="00A90032" w:rsidP="00A90032">
      <w:pPr>
        <w:pStyle w:val="TextList"/>
      </w:pPr>
      <w:r>
        <w:t>2 which:</w:t>
      </w:r>
      <w:r w:rsidRPr="0094534C">
        <w:t xml:space="preserve"> We can use </w:t>
      </w:r>
      <w:r w:rsidRPr="0094534C">
        <w:rPr>
          <w:i/>
        </w:rPr>
        <w:t>which</w:t>
      </w:r>
      <w:r w:rsidRPr="0094534C">
        <w:t xml:space="preserve"> to refer to a place or thing.</w:t>
      </w:r>
    </w:p>
    <w:p w:rsidR="00A90032" w:rsidRDefault="00A90032" w:rsidP="00A90032">
      <w:pPr>
        <w:pStyle w:val="TextList"/>
      </w:pPr>
      <w:r>
        <w:t>3 who:</w:t>
      </w:r>
      <w:r w:rsidRPr="0094534C">
        <w:t xml:space="preserve"> W</w:t>
      </w:r>
      <w:r>
        <w:t>e</w:t>
      </w:r>
      <w:r w:rsidRPr="0094534C">
        <w:t xml:space="preserve"> use </w:t>
      </w:r>
      <w:r w:rsidRPr="0094534C">
        <w:rPr>
          <w:i/>
        </w:rPr>
        <w:t>who</w:t>
      </w:r>
      <w:r w:rsidRPr="0094534C">
        <w:t xml:space="preserve"> to refer to people. If you want to check whether you can leave it out, try saying the sentence without </w:t>
      </w:r>
      <w:r w:rsidRPr="0094534C">
        <w:rPr>
          <w:i/>
        </w:rPr>
        <w:t>who.</w:t>
      </w:r>
      <w:r w:rsidRPr="0094534C">
        <w:t xml:space="preserve"> Does it sound right? </w:t>
      </w:r>
    </w:p>
    <w:p w:rsidR="00A90032" w:rsidRPr="00521460" w:rsidRDefault="00A90032" w:rsidP="00A90032">
      <w:pPr>
        <w:pStyle w:val="TextList"/>
      </w:pPr>
      <w:r>
        <w:t>4 that:</w:t>
      </w:r>
      <w:r w:rsidRPr="0094534C">
        <w:t xml:space="preserve"> We need </w:t>
      </w:r>
      <w:r w:rsidRPr="0094534C">
        <w:rPr>
          <w:i/>
        </w:rPr>
        <w:t>that</w:t>
      </w:r>
      <w:r w:rsidRPr="0094534C">
        <w:t xml:space="preserve"> (or </w:t>
      </w:r>
      <w:r w:rsidRPr="00A272E7">
        <w:rPr>
          <w:i/>
        </w:rPr>
        <w:t>which</w:t>
      </w:r>
      <w:r w:rsidRPr="0094534C">
        <w:t xml:space="preserve">) to refer to the </w:t>
      </w:r>
      <w:r w:rsidRPr="004E2054">
        <w:t xml:space="preserve">name of the </w:t>
      </w:r>
      <w:r w:rsidRPr="00A272E7">
        <w:t>school.</w:t>
      </w:r>
    </w:p>
    <w:p w:rsidR="00184768" w:rsidRPr="00521460" w:rsidRDefault="00184768" w:rsidP="00184768">
      <w:pPr>
        <w:pStyle w:val="TextList"/>
      </w:pPr>
      <w:r>
        <w:t>5 that:</w:t>
      </w:r>
      <w:r w:rsidRPr="0094534C">
        <w:t xml:space="preserve"> We use </w:t>
      </w:r>
      <w:r w:rsidRPr="0094534C">
        <w:rPr>
          <w:i/>
        </w:rPr>
        <w:t>that</w:t>
      </w:r>
      <w:r w:rsidRPr="0094534C">
        <w:t xml:space="preserve"> to refer to things</w:t>
      </w:r>
      <w:r w:rsidRPr="009268DF">
        <w:t xml:space="preserve">. </w:t>
      </w:r>
      <w:r w:rsidRPr="00675593">
        <w:t>H</w:t>
      </w:r>
      <w:r w:rsidRPr="0094534C">
        <w:t xml:space="preserve">ere it’s referring to </w:t>
      </w:r>
      <w:r w:rsidRPr="009268DF">
        <w:rPr>
          <w:i/>
        </w:rPr>
        <w:t>gloves</w:t>
      </w:r>
      <w:r w:rsidRPr="0094534C">
        <w:rPr>
          <w:b/>
        </w:rPr>
        <w:t>.</w:t>
      </w:r>
    </w:p>
    <w:p w:rsidR="00184768" w:rsidRPr="00521460" w:rsidRDefault="00184768" w:rsidP="00184768">
      <w:pPr>
        <w:pStyle w:val="TextList"/>
      </w:pPr>
      <w:r>
        <w:t>6 where:</w:t>
      </w:r>
      <w:r w:rsidRPr="0094534C">
        <w:t xml:space="preserve"> We use </w:t>
      </w:r>
      <w:r w:rsidRPr="0094534C">
        <w:rPr>
          <w:i/>
        </w:rPr>
        <w:t xml:space="preserve">where </w:t>
      </w:r>
      <w:r w:rsidRPr="0094534C">
        <w:t xml:space="preserve">to refer back </w:t>
      </w:r>
      <w:r w:rsidRPr="00675593">
        <w:t xml:space="preserve">to a place, in this case, </w:t>
      </w:r>
      <w:r w:rsidRPr="00675593">
        <w:rPr>
          <w:i/>
        </w:rPr>
        <w:t xml:space="preserve">a </w:t>
      </w:r>
      <w:proofErr w:type="gramStart"/>
      <w:r w:rsidRPr="00675593">
        <w:rPr>
          <w:i/>
        </w:rPr>
        <w:t xml:space="preserve">great </w:t>
      </w:r>
      <w:r>
        <w:rPr>
          <w:i/>
        </w:rPr>
        <w:t>:</w:t>
      </w:r>
      <w:r w:rsidRPr="00675593">
        <w:rPr>
          <w:i/>
        </w:rPr>
        <w:t>é</w:t>
      </w:r>
      <w:proofErr w:type="gramEnd"/>
      <w:r w:rsidRPr="00675593">
        <w:t>.</w:t>
      </w:r>
    </w:p>
    <w:p w:rsidR="00184768" w:rsidRPr="0094534C" w:rsidRDefault="00184768" w:rsidP="00184768">
      <w:pPr>
        <w:pStyle w:val="TextList"/>
      </w:pPr>
    </w:p>
    <w:p w:rsidR="00184768" w:rsidRPr="00495AC4" w:rsidRDefault="00184768" w:rsidP="00184768"/>
    <w:p w:rsidR="00184768" w:rsidRPr="00CB2F69" w:rsidRDefault="00184768" w:rsidP="00184768"/>
    <w:p w:rsidR="00D27D29" w:rsidRDefault="00D27D29"/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B71"/>
    <w:rsid w:val="00184768"/>
    <w:rsid w:val="00785B71"/>
    <w:rsid w:val="00A90032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2762E1-87D4-440F-ACA0-2E0916ECD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00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TextList"/>
    <w:rsid w:val="00A90032"/>
    <w:pPr>
      <w:spacing w:after="60"/>
      <w:ind w:left="0" w:firstLine="0"/>
    </w:pPr>
  </w:style>
  <w:style w:type="paragraph" w:customStyle="1" w:styleId="TextList">
    <w:name w:val="Text List"/>
    <w:basedOn w:val="Normal"/>
    <w:rsid w:val="00A90032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Unit">
    <w:name w:val="Head Unit"/>
    <w:next w:val="Normal"/>
    <w:rsid w:val="00A90032"/>
    <w:pPr>
      <w:pBdr>
        <w:bottom w:val="single" w:sz="4" w:space="1" w:color="auto"/>
      </w:pBdr>
      <w:spacing w:after="0" w:line="240" w:lineRule="auto"/>
    </w:pPr>
    <w:rPr>
      <w:rFonts w:ascii="Arial" w:eastAsia="Times New Roman" w:hAnsi="Arial" w:cs="Arial"/>
      <w:b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A90032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A90032"/>
    <w:rPr>
      <w:rFonts w:ascii="Arial" w:eastAsia="Times New Roman" w:hAnsi="Arial" w:cs="Arial"/>
      <w:b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3</cp:revision>
  <dcterms:created xsi:type="dcterms:W3CDTF">2020-03-18T19:15:00Z</dcterms:created>
  <dcterms:modified xsi:type="dcterms:W3CDTF">2020-03-18T19:16:00Z</dcterms:modified>
</cp:coreProperties>
</file>